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502D5" w14:textId="665D5E9B" w:rsidR="00DE10BA" w:rsidRDefault="00DE10BA" w:rsidP="00DE10BA">
      <w:pPr>
        <w:pStyle w:val="a3"/>
        <w:rPr>
          <w:bCs/>
          <w:noProof w:val="0"/>
          <w:sz w:val="24"/>
          <w:szCs w:val="24"/>
        </w:rPr>
      </w:pPr>
      <w:r>
        <w:rPr>
          <w:bCs/>
          <w:noProof w:val="0"/>
          <w:sz w:val="24"/>
          <w:szCs w:val="24"/>
        </w:rPr>
        <w:t>3GPP TSG-RAN WG2 #99</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DE10BA">
        <w:rPr>
          <w:bCs/>
          <w:noProof w:val="0"/>
          <w:sz w:val="24"/>
          <w:szCs w:val="24"/>
        </w:rPr>
        <w:t>R2-1709023</w:t>
      </w:r>
    </w:p>
    <w:p w14:paraId="353A76AD" w14:textId="77777777" w:rsidR="00DE10BA" w:rsidRDefault="00DE10BA" w:rsidP="00DE10BA">
      <w:pPr>
        <w:pStyle w:val="a3"/>
        <w:rPr>
          <w:bCs/>
          <w:noProof w:val="0"/>
          <w:sz w:val="24"/>
          <w:lang w:val="de-DE"/>
        </w:rPr>
      </w:pPr>
      <w:r>
        <w:rPr>
          <w:bCs/>
          <w:noProof w:val="0"/>
          <w:sz w:val="24"/>
          <w:szCs w:val="24"/>
        </w:rPr>
        <w:t>Berlin, Germany, 21 – 25 August 2017</w:t>
      </w:r>
      <w:r>
        <w:rPr>
          <w:bCs/>
          <w:noProof w:val="0"/>
          <w:sz w:val="24"/>
          <w:szCs w:val="24"/>
        </w:rPr>
        <w:tab/>
      </w:r>
      <w:bookmarkStart w:id="0" w:name="_GoBack"/>
      <w:bookmarkEnd w:id="0"/>
    </w:p>
    <w:p w14:paraId="7A321F1D" w14:textId="77777777" w:rsidR="00CD4C7B" w:rsidRPr="00A87D2A" w:rsidRDefault="00CD4C7B" w:rsidP="00CD4C7B">
      <w:pPr>
        <w:pStyle w:val="a3"/>
        <w:rPr>
          <w:bCs/>
          <w:noProof w:val="0"/>
          <w:sz w:val="24"/>
          <w:lang w:val="de-DE"/>
        </w:rPr>
      </w:pPr>
    </w:p>
    <w:p w14:paraId="6FE09238" w14:textId="6D2816BC"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985300">
        <w:rPr>
          <w:rFonts w:cs="Arial"/>
          <w:b/>
          <w:bCs/>
          <w:sz w:val="24"/>
          <w:lang w:val="de-DE"/>
        </w:rPr>
        <w:t>10.2.4</w:t>
      </w:r>
    </w:p>
    <w:p w14:paraId="155663C2" w14:textId="5D919CE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F5DD9">
        <w:rPr>
          <w:rFonts w:ascii="Arial" w:hAnsi="Arial" w:cs="Arial"/>
          <w:b/>
          <w:bCs/>
          <w:sz w:val="24"/>
        </w:rPr>
        <w:t xml:space="preserve">Samsung </w:t>
      </w:r>
    </w:p>
    <w:p w14:paraId="2E3DD53B" w14:textId="562CFCE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4E48">
        <w:rPr>
          <w:rFonts w:ascii="Arial" w:hAnsi="Arial" w:cs="Arial"/>
          <w:b/>
          <w:bCs/>
          <w:sz w:val="24"/>
        </w:rPr>
        <w:t>NSA procedure</w:t>
      </w:r>
      <w:r w:rsidR="007E26AA">
        <w:rPr>
          <w:rFonts w:ascii="Arial" w:hAnsi="Arial" w:cs="Arial"/>
          <w:b/>
          <w:bCs/>
          <w:sz w:val="24"/>
        </w:rPr>
        <w:t xml:space="preserve"> FFS</w:t>
      </w:r>
      <w:r w:rsidR="00F14E48">
        <w:rPr>
          <w:rFonts w:ascii="Arial" w:hAnsi="Arial" w:cs="Arial"/>
          <w:b/>
          <w:bCs/>
          <w:sz w:val="24"/>
        </w:rPr>
        <w:t xml:space="preserve">: </w:t>
      </w:r>
      <w:r w:rsidR="00710D17">
        <w:rPr>
          <w:rFonts w:ascii="Arial" w:hAnsi="Arial" w:cs="Arial"/>
          <w:b/>
          <w:bCs/>
          <w:sz w:val="24"/>
        </w:rPr>
        <w:t>SCG change definition in ENDC</w:t>
      </w:r>
      <w:r w:rsidR="00726FCA">
        <w:rPr>
          <w:rFonts w:ascii="Arial" w:hAnsi="Arial" w:cs="Arial"/>
          <w:b/>
          <w:bCs/>
          <w:sz w:val="24"/>
        </w:rPr>
        <w:t xml:space="preserve"> / Information for DRB configuration </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1"/>
      </w:pPr>
      <w:r w:rsidRPr="006E13D1">
        <w:t>1</w:t>
      </w:r>
      <w:r w:rsidRPr="006E13D1">
        <w:tab/>
      </w:r>
      <w:r w:rsidR="0056573F">
        <w:t>Introduction</w:t>
      </w:r>
    </w:p>
    <w:p w14:paraId="6B1EC596" w14:textId="3DA600D4" w:rsidR="00791E6F" w:rsidRDefault="003F5DD9" w:rsidP="00501319">
      <w:pPr>
        <w:overflowPunct w:val="0"/>
        <w:autoSpaceDE w:val="0"/>
        <w:autoSpaceDN w:val="0"/>
        <w:adjustRightInd w:val="0"/>
        <w:jc w:val="both"/>
        <w:textAlignment w:val="baseline"/>
        <w:rPr>
          <w:rFonts w:eastAsia="맑은 고딕"/>
          <w:lang w:val="en-US" w:eastAsia="ko-KR"/>
        </w:rPr>
      </w:pPr>
      <w:r>
        <w:rPr>
          <w:rFonts w:eastAsia="MS Mincho"/>
          <w:lang w:val="en-US" w:eastAsia="ja-JP"/>
        </w:rPr>
        <w:t>The most of basic procedures for NSA operation has been addressed in late</w:t>
      </w:r>
      <w:r w:rsidR="00742F11" w:rsidRPr="00742F11">
        <w:rPr>
          <w:rFonts w:eastAsia="MS Mincho"/>
          <w:lang w:val="en-US" w:eastAsia="ja-JP"/>
        </w:rPr>
        <w:t>st</w:t>
      </w:r>
      <w:r>
        <w:rPr>
          <w:rFonts w:eastAsia="MS Mincho"/>
          <w:lang w:val="en-US" w:eastAsia="ja-JP"/>
        </w:rPr>
        <w:t xml:space="preserve"> RAN2#AH2 meeting</w:t>
      </w:r>
      <w:r>
        <w:rPr>
          <w:rFonts w:eastAsia="맑은 고딕" w:hint="eastAsia"/>
          <w:lang w:val="en-US" w:eastAsia="ko-KR"/>
        </w:rPr>
        <w:t xml:space="preserve">. </w:t>
      </w:r>
      <w:r>
        <w:rPr>
          <w:rFonts w:eastAsia="맑은 고딕"/>
          <w:lang w:val="en-US" w:eastAsia="ko-KR"/>
        </w:rPr>
        <w:t>We further discuss FFS point</w:t>
      </w:r>
      <w:r w:rsidR="00726FCA">
        <w:rPr>
          <w:rFonts w:eastAsia="맑은 고딕"/>
          <w:lang w:val="en-US" w:eastAsia="ko-KR"/>
        </w:rPr>
        <w:t>s</w:t>
      </w:r>
      <w:r>
        <w:rPr>
          <w:rFonts w:eastAsia="맑은 고딕"/>
          <w:lang w:val="en-US" w:eastAsia="ko-KR"/>
        </w:rPr>
        <w:t xml:space="preserve"> related to the agreement in that meeting. </w:t>
      </w:r>
      <w:r w:rsidR="00CE0ABB">
        <w:rPr>
          <w:rFonts w:eastAsia="맑은 고딕"/>
          <w:lang w:val="en-US" w:eastAsia="ko-KR"/>
        </w:rPr>
        <w:t>The followings are agreements to be considered</w:t>
      </w:r>
      <w:r w:rsidR="00726FCA">
        <w:rPr>
          <w:rFonts w:eastAsia="맑은 고딕"/>
          <w:lang w:val="en-US" w:eastAsia="ko-KR"/>
        </w:rPr>
        <w:t xml:space="preserve"> for the first item</w:t>
      </w:r>
      <w:r w:rsidR="00A341BA">
        <w:rPr>
          <w:rFonts w:eastAsia="맑은 고딕"/>
          <w:lang w:val="en-US" w:eastAsia="ko-KR"/>
        </w:rPr>
        <w:t xml:space="preserve">, i.e., </w:t>
      </w:r>
      <w:r w:rsidR="00726FCA">
        <w:rPr>
          <w:rFonts w:eastAsia="맑은 고딕"/>
          <w:lang w:val="en-US" w:eastAsia="ko-KR"/>
        </w:rPr>
        <w:t>SCG change definition</w:t>
      </w:r>
      <w:r w:rsidR="00CE0ABB">
        <w:rPr>
          <w:rFonts w:eastAsia="맑은 고딕"/>
          <w:lang w:val="en-US" w:eastAsia="ko-KR"/>
        </w:rPr>
        <w:t>:</w:t>
      </w:r>
    </w:p>
    <w:p w14:paraId="2CD1CEE6"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rsidRPr="00BF3F47">
        <w:t xml:space="preserve">Agreements related </w:t>
      </w:r>
      <w:r>
        <w:t xml:space="preserve">to other general parameters </w:t>
      </w:r>
      <w:r w:rsidRPr="00BF3F47">
        <w:t>(at least for EN-DC)</w:t>
      </w:r>
    </w:p>
    <w:p w14:paraId="07FB2AEB"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1</w:t>
      </w:r>
      <w:r>
        <w:tab/>
        <w:t>(At SN addition) MN provides to SN the SN UE capabilities.</w:t>
      </w:r>
    </w:p>
    <w:p w14:paraId="49AA3949"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2</w:t>
      </w:r>
      <w:r>
        <w:tab/>
        <w:t>SN provides the SCG configuration (transparently) to MN, for the case that the SCG configuration is provided to the UE via the MN</w:t>
      </w:r>
    </w:p>
    <w:p w14:paraId="22647D0A"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3</w:t>
      </w:r>
      <w:r>
        <w:tab/>
        <w:t xml:space="preserve">MN may provide an SCG configuration restriction to SN (signalling details FFS). SN may provide information indicating what SCG configuration restriction it would like to be alleviated/ reduced </w:t>
      </w:r>
      <w:r w:rsidRPr="00D73E71">
        <w:t>(signalling details FFS)</w:t>
      </w:r>
    </w:p>
    <w:p w14:paraId="041DA21B"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4</w:t>
      </w:r>
      <w:r>
        <w:tab/>
        <w:t>Inter-node transfer of SN UE capabilities and SCG configuration information is specified by RRC (inter node message). MN transparently forwards these parameters (i.e. SN UE capabilities received from UE is transparently forwarded to SN, SCG configuration received from SN is transparently forwarded to UE).</w:t>
      </w:r>
    </w:p>
    <w:p w14:paraId="7FE0A57E"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t>5</w:t>
      </w:r>
      <w:r>
        <w:tab/>
        <w:t>MN may provide to SN an "SCG change" indication upon MN initiated SCG modification. SN may provide to MN an "SCG change" indication upon SN initiated SCG modification.</w:t>
      </w:r>
    </w:p>
    <w:p w14:paraId="6839E21C" w14:textId="77777777" w:rsidR="00CE0ABB" w:rsidRDefault="00CE0ABB" w:rsidP="00CE0ABB">
      <w:pPr>
        <w:pStyle w:val="Doc-text2"/>
        <w:pBdr>
          <w:top w:val="single" w:sz="4" w:space="1" w:color="auto"/>
          <w:left w:val="single" w:sz="4" w:space="4" w:color="auto"/>
          <w:bottom w:val="single" w:sz="4" w:space="1" w:color="auto"/>
          <w:right w:val="single" w:sz="4" w:space="4" w:color="auto"/>
        </w:pBdr>
      </w:pPr>
      <w:r w:rsidRPr="00CE0ABB">
        <w:rPr>
          <w:highlight w:val="green"/>
        </w:rPr>
        <w:t>FFS: SCG change still needs to be defined for NR cases</w:t>
      </w:r>
    </w:p>
    <w:p w14:paraId="3C4740EA" w14:textId="77777777" w:rsidR="00726FCA" w:rsidRDefault="00726FCA" w:rsidP="00726FCA">
      <w:pPr>
        <w:overflowPunct w:val="0"/>
        <w:autoSpaceDE w:val="0"/>
        <w:autoSpaceDN w:val="0"/>
        <w:adjustRightInd w:val="0"/>
        <w:textAlignment w:val="baseline"/>
        <w:rPr>
          <w:rFonts w:eastAsia="맑은 고딕"/>
          <w:lang w:eastAsia="ko-KR"/>
        </w:rPr>
      </w:pPr>
    </w:p>
    <w:p w14:paraId="510293AD" w14:textId="1BB8EFD4" w:rsidR="00726FCA" w:rsidRDefault="00726FCA" w:rsidP="00726FCA">
      <w:pPr>
        <w:overflowPunct w:val="0"/>
        <w:autoSpaceDE w:val="0"/>
        <w:autoSpaceDN w:val="0"/>
        <w:adjustRightInd w:val="0"/>
        <w:textAlignment w:val="baseline"/>
        <w:rPr>
          <w:rFonts w:eastAsia="맑은 고딕"/>
          <w:lang w:eastAsia="ko-KR"/>
        </w:rPr>
      </w:pPr>
      <w:r>
        <w:rPr>
          <w:rFonts w:eastAsia="맑은 고딕"/>
          <w:lang w:eastAsia="ko-KR"/>
        </w:rPr>
        <w:t xml:space="preserve">And </w:t>
      </w:r>
      <w:r w:rsidR="00A341BA">
        <w:rPr>
          <w:rFonts w:eastAsia="맑은 고딕"/>
          <w:lang w:eastAsia="ko-KR"/>
        </w:rPr>
        <w:t xml:space="preserve">the following is </w:t>
      </w:r>
      <w:r>
        <w:rPr>
          <w:rFonts w:eastAsia="맑은 고딕"/>
          <w:lang w:eastAsia="ko-KR"/>
        </w:rPr>
        <w:t xml:space="preserve">for the second item: information for DRB configuration. </w:t>
      </w:r>
    </w:p>
    <w:p w14:paraId="6AE83733" w14:textId="77777777" w:rsidR="00726FCA" w:rsidRDefault="00726FCA" w:rsidP="00726FCA">
      <w:pPr>
        <w:pStyle w:val="Doc-text2"/>
        <w:pBdr>
          <w:top w:val="single" w:sz="4" w:space="1" w:color="auto"/>
          <w:left w:val="single" w:sz="4" w:space="4" w:color="auto"/>
          <w:bottom w:val="single" w:sz="4" w:space="1" w:color="auto"/>
          <w:right w:val="single" w:sz="4" w:space="4" w:color="auto"/>
        </w:pBdr>
      </w:pPr>
      <w:r>
        <w:t>Agreements related to bearer related parameters (at least for EN-DC)</w:t>
      </w:r>
    </w:p>
    <w:p w14:paraId="699A9A2F" w14:textId="77777777" w:rsidR="00726FCA" w:rsidRDefault="00726FCA" w:rsidP="00726FCA">
      <w:pPr>
        <w:pStyle w:val="Doc-text2"/>
        <w:pBdr>
          <w:top w:val="single" w:sz="4" w:space="1" w:color="auto"/>
          <w:left w:val="single" w:sz="4" w:space="4" w:color="auto"/>
          <w:bottom w:val="single" w:sz="4" w:space="1" w:color="auto"/>
          <w:right w:val="single" w:sz="4" w:space="4" w:color="auto"/>
        </w:pBdr>
      </w:pPr>
      <w:r>
        <w:t>1</w:t>
      </w:r>
      <w:r>
        <w:tab/>
        <w:t xml:space="preserve">In case of EN-DC, at DRB configuration MN provides to SN the identity of DRB to be added. </w:t>
      </w:r>
      <w:r>
        <w:rPr>
          <w:highlight w:val="green"/>
        </w:rPr>
        <w:t>FFS whether any further information is transferred e.g. DRB type</w:t>
      </w:r>
    </w:p>
    <w:p w14:paraId="6B19E440" w14:textId="77777777" w:rsidR="00726FCA" w:rsidRDefault="00726FCA" w:rsidP="00726FCA">
      <w:pPr>
        <w:pStyle w:val="Doc-text2"/>
        <w:pBdr>
          <w:top w:val="single" w:sz="4" w:space="1" w:color="auto"/>
          <w:left w:val="single" w:sz="4" w:space="4" w:color="auto"/>
          <w:bottom w:val="single" w:sz="4" w:space="1" w:color="auto"/>
          <w:right w:val="single" w:sz="4" w:space="4" w:color="auto"/>
        </w:pBdr>
      </w:pPr>
      <w:r>
        <w:t>2</w:t>
      </w:r>
      <w:r>
        <w:tab/>
        <w:t>In case of EN-DC, MN provides to SN QoS attribute information (same information as for LTE DC) of bearers to be added</w:t>
      </w:r>
    </w:p>
    <w:p w14:paraId="5B5649A9" w14:textId="77777777" w:rsidR="00726FCA" w:rsidRDefault="00726FCA" w:rsidP="00726FCA">
      <w:pPr>
        <w:pStyle w:val="Doc-text2"/>
        <w:pBdr>
          <w:top w:val="single" w:sz="4" w:space="1" w:color="auto"/>
          <w:left w:val="single" w:sz="4" w:space="4" w:color="auto"/>
          <w:bottom w:val="single" w:sz="4" w:space="1" w:color="auto"/>
          <w:right w:val="single" w:sz="4" w:space="4" w:color="auto"/>
        </w:pBdr>
      </w:pPr>
      <w:r>
        <w:t>FFS: RAN2 will discuss further and conclude if MN should provide SRB attribute information (i.e. for MCG split SRB case)</w:t>
      </w:r>
    </w:p>
    <w:p w14:paraId="35CA4BFC" w14:textId="77777777" w:rsidR="00CE0ABB" w:rsidRPr="00726FCA" w:rsidRDefault="00CE0ABB" w:rsidP="003F5DD9">
      <w:pPr>
        <w:overflowPunct w:val="0"/>
        <w:autoSpaceDE w:val="0"/>
        <w:autoSpaceDN w:val="0"/>
        <w:adjustRightInd w:val="0"/>
        <w:textAlignment w:val="baseline"/>
        <w:rPr>
          <w:rFonts w:eastAsia="맑은 고딕"/>
          <w:lang w:eastAsia="ko-KR"/>
        </w:rPr>
      </w:pPr>
    </w:p>
    <w:p w14:paraId="510B6858" w14:textId="77777777" w:rsidR="00D21EDA" w:rsidRDefault="00D21EDA" w:rsidP="00501319">
      <w:pPr>
        <w:jc w:val="both"/>
        <w:rPr>
          <w:lang w:eastAsia="ko-KR"/>
        </w:rPr>
      </w:pPr>
    </w:p>
    <w:p w14:paraId="4B49CE46" w14:textId="43AF9590" w:rsidR="00B562E0" w:rsidRDefault="006808FC" w:rsidP="00501319">
      <w:pPr>
        <w:pStyle w:val="1"/>
        <w:jc w:val="both"/>
      </w:pPr>
      <w:r>
        <w:t>2</w:t>
      </w:r>
      <w:r w:rsidR="00B562E0">
        <w:tab/>
      </w:r>
      <w:r w:rsidR="008F3DC4">
        <w:t xml:space="preserve">SCG change definition </w:t>
      </w:r>
      <w:r w:rsidR="00B562E0">
        <w:t xml:space="preserve">in ENDC </w:t>
      </w:r>
    </w:p>
    <w:p w14:paraId="1A766693" w14:textId="739CDC93" w:rsidR="00B562E0" w:rsidRDefault="008F3DC4" w:rsidP="00501319">
      <w:pPr>
        <w:jc w:val="both"/>
        <w:rPr>
          <w:lang w:eastAsia="ko-KR"/>
        </w:rPr>
      </w:pPr>
      <w:r>
        <w:rPr>
          <w:lang w:eastAsia="ko-KR"/>
        </w:rPr>
        <w:t>A</w:t>
      </w:r>
      <w:r>
        <w:rPr>
          <w:rFonts w:hint="eastAsia"/>
          <w:lang w:eastAsia="ko-KR"/>
        </w:rPr>
        <w:t xml:space="preserve">s </w:t>
      </w:r>
      <w:r>
        <w:rPr>
          <w:lang w:eastAsia="ko-KR"/>
        </w:rPr>
        <w:t>a baseline, LTE has the definition or explanation on SCG change as following in TS 36.300:</w:t>
      </w:r>
    </w:p>
    <w:p w14:paraId="63C6D628" w14:textId="79EA9B4C" w:rsidR="008F3DC4" w:rsidRPr="00B562E0" w:rsidRDefault="00156B3C" w:rsidP="00501319">
      <w:pPr>
        <w:pBdr>
          <w:top w:val="single" w:sz="4" w:space="1" w:color="auto"/>
          <w:left w:val="single" w:sz="4" w:space="4" w:color="auto"/>
          <w:bottom w:val="single" w:sz="4" w:space="1" w:color="auto"/>
          <w:right w:val="single" w:sz="4" w:space="4" w:color="auto"/>
        </w:pBdr>
        <w:jc w:val="both"/>
        <w:rPr>
          <w:lang w:eastAsia="ko-KR"/>
        </w:rPr>
      </w:pPr>
      <w:r w:rsidRPr="00584246">
        <w:rPr>
          <w:lang w:val="en-US" w:eastAsia="ja-JP"/>
        </w:rPr>
        <w:t xml:space="preserve">"SCG change" refers to a synchronous </w:t>
      </w:r>
      <w:r w:rsidRPr="00584246">
        <w:rPr>
          <w:rFonts w:hint="eastAsia"/>
          <w:lang w:val="en-US" w:eastAsia="ja-JP"/>
        </w:rPr>
        <w:t xml:space="preserve">SCG reconfiguration procedure </w:t>
      </w:r>
      <w:r w:rsidRPr="00584246">
        <w:rPr>
          <w:lang w:val="en-US" w:eastAsia="ja-JP"/>
        </w:rPr>
        <w:t>towards the UE</w:t>
      </w:r>
      <w:r w:rsidRPr="00584246">
        <w:rPr>
          <w:rFonts w:hint="eastAsia"/>
          <w:lang w:val="en-US" w:eastAsia="ja-JP"/>
        </w:rPr>
        <w:t xml:space="preserve"> involving random access on PSCell</w:t>
      </w:r>
      <w:r w:rsidRPr="00584246">
        <w:rPr>
          <w:lang w:val="en-US" w:eastAsia="ja-JP"/>
        </w:rPr>
        <w:t>.</w:t>
      </w:r>
    </w:p>
    <w:p w14:paraId="17FECEC9" w14:textId="547B689F" w:rsidR="00B562E0" w:rsidRDefault="008447E9" w:rsidP="00501319">
      <w:pPr>
        <w:jc w:val="both"/>
        <w:rPr>
          <w:lang w:eastAsia="ko-KR"/>
        </w:rPr>
      </w:pPr>
      <w:r>
        <w:rPr>
          <w:lang w:eastAsia="ko-KR"/>
        </w:rPr>
        <w:t xml:space="preserve">This means that SCG change always has to be done with RACH procedure. </w:t>
      </w:r>
      <w:r w:rsidR="00156B3C">
        <w:rPr>
          <w:lang w:eastAsia="ko-KR"/>
        </w:rPr>
        <w:t xml:space="preserve">Furthermore, there is </w:t>
      </w:r>
      <w:r>
        <w:rPr>
          <w:lang w:eastAsia="ko-KR"/>
        </w:rPr>
        <w:t xml:space="preserve">other given </w:t>
      </w:r>
      <w:r w:rsidR="00156B3C">
        <w:rPr>
          <w:lang w:eastAsia="ko-KR"/>
        </w:rPr>
        <w:t>operation</w:t>
      </w:r>
      <w:r>
        <w:rPr>
          <w:lang w:eastAsia="ko-KR"/>
        </w:rPr>
        <w:t>s</w:t>
      </w:r>
      <w:r w:rsidR="00156B3C">
        <w:rPr>
          <w:lang w:eastAsia="ko-KR"/>
        </w:rPr>
        <w:t xml:space="preserve"> specified for SCG change operation</w:t>
      </w:r>
      <w:r>
        <w:rPr>
          <w:lang w:eastAsia="ko-KR"/>
        </w:rPr>
        <w:t xml:space="preserve"> as:</w:t>
      </w:r>
      <w:r w:rsidR="005614B7">
        <w:rPr>
          <w:lang w:eastAsia="ko-KR"/>
        </w:rPr>
        <w:tab/>
      </w:r>
    </w:p>
    <w:p w14:paraId="763A8F97" w14:textId="3FA38D04" w:rsidR="00156B3C" w:rsidRPr="00156B3C" w:rsidRDefault="00156B3C" w:rsidP="00501319">
      <w:pPr>
        <w:pBdr>
          <w:top w:val="single" w:sz="4" w:space="1" w:color="auto"/>
          <w:left w:val="single" w:sz="4" w:space="4" w:color="auto"/>
          <w:bottom w:val="single" w:sz="4" w:space="1" w:color="auto"/>
          <w:right w:val="single" w:sz="4" w:space="4" w:color="auto"/>
        </w:pBdr>
        <w:jc w:val="both"/>
        <w:rPr>
          <w:lang w:eastAsia="ko-KR"/>
        </w:rPr>
      </w:pPr>
      <w:r w:rsidRPr="00584246">
        <w:rPr>
          <w:lang w:val="en-US" w:eastAsia="ja-JP"/>
        </w:rPr>
        <w:lastRenderedPageBreak/>
        <w:t xml:space="preserve">During SCG change, MAC configured for SCG is reset and </w:t>
      </w:r>
      <w:r w:rsidRPr="00584246">
        <w:rPr>
          <w:rFonts w:hint="eastAsia"/>
          <w:lang w:val="en-US" w:eastAsia="ja-JP"/>
        </w:rPr>
        <w:t>RLC configured for SCG is re-established regardless of the bearer type</w:t>
      </w:r>
      <w:r w:rsidRPr="00584246">
        <w:rPr>
          <w:lang w:val="en-US" w:eastAsia="ja-JP"/>
        </w:rPr>
        <w:t>(</w:t>
      </w:r>
      <w:r w:rsidRPr="00584246">
        <w:rPr>
          <w:rFonts w:hint="eastAsia"/>
          <w:lang w:val="en-US" w:eastAsia="ja-JP"/>
        </w:rPr>
        <w:t>s</w:t>
      </w:r>
      <w:r w:rsidRPr="00584246">
        <w:rPr>
          <w:lang w:val="en-US" w:eastAsia="ja-JP"/>
        </w:rPr>
        <w:t>)</w:t>
      </w:r>
      <w:r w:rsidRPr="00584246">
        <w:rPr>
          <w:rFonts w:hint="eastAsia"/>
          <w:lang w:val="en-US" w:eastAsia="ja-JP"/>
        </w:rPr>
        <w:t xml:space="preserve"> established on SCG. For SCG bearer, PDCP configured for SCG is re-established. In case of reconfiguration from split to MCG bearer, RLC configured for SCG is released.</w:t>
      </w:r>
    </w:p>
    <w:p w14:paraId="37F1FA16" w14:textId="2A3AF8F9" w:rsidR="0021316D" w:rsidRDefault="004872A1" w:rsidP="00501319">
      <w:pPr>
        <w:jc w:val="both"/>
        <w:rPr>
          <w:lang w:eastAsia="ko-KR"/>
        </w:rPr>
      </w:pPr>
      <w:r>
        <w:rPr>
          <w:lang w:eastAsia="ko-KR"/>
        </w:rPr>
        <w:t>In LTE</w:t>
      </w:r>
      <w:r w:rsidR="00E102A0">
        <w:rPr>
          <w:rFonts w:hint="eastAsia"/>
          <w:lang w:eastAsia="ko-KR"/>
        </w:rPr>
        <w:t xml:space="preserve">, </w:t>
      </w:r>
      <w:r w:rsidR="005614B7">
        <w:rPr>
          <w:lang w:eastAsia="ko-KR"/>
        </w:rPr>
        <w:t xml:space="preserve">there are two kinds of bearer type change </w:t>
      </w:r>
      <w:r w:rsidR="0021316D">
        <w:rPr>
          <w:lang w:eastAsia="ko-KR"/>
        </w:rPr>
        <w:t xml:space="preserve">allowed </w:t>
      </w:r>
      <w:r w:rsidR="005614B7">
        <w:rPr>
          <w:lang w:eastAsia="ko-KR"/>
        </w:rPr>
        <w:t xml:space="preserve">i.e., MCG &lt;-&gt; split bearer and MCG&lt;-&gt; SCG bearer. </w:t>
      </w:r>
      <w:r w:rsidR="0021316D">
        <w:rPr>
          <w:lang w:eastAsia="ko-KR"/>
        </w:rPr>
        <w:t xml:space="preserve">Of course there is also genuine mobility cases and SCG security change which are not triggered by bearer type change. </w:t>
      </w:r>
      <w:r w:rsidR="00036C6B">
        <w:rPr>
          <w:lang w:eastAsia="ko-KR"/>
        </w:rPr>
        <w:t xml:space="preserve">All these cases (i.e., </w:t>
      </w:r>
      <w:r w:rsidR="0021316D">
        <w:rPr>
          <w:lang w:eastAsia="ko-KR"/>
        </w:rPr>
        <w:t>bearer type change and genuine mobility/SCG security change</w:t>
      </w:r>
      <w:r w:rsidR="00036C6B">
        <w:rPr>
          <w:lang w:eastAsia="ko-KR"/>
        </w:rPr>
        <w:t>)</w:t>
      </w:r>
      <w:r w:rsidR="0021316D">
        <w:rPr>
          <w:lang w:eastAsia="ko-KR"/>
        </w:rPr>
        <w:t xml:space="preserve"> </w:t>
      </w:r>
      <w:r w:rsidR="005614B7">
        <w:rPr>
          <w:lang w:eastAsia="ko-KR"/>
        </w:rPr>
        <w:t>are accompanied with mobility procedure (</w:t>
      </w:r>
      <w:r w:rsidR="009B3052">
        <w:rPr>
          <w:lang w:eastAsia="ko-KR"/>
        </w:rPr>
        <w:t>i.e., L</w:t>
      </w:r>
      <w:r w:rsidR="008447E9">
        <w:rPr>
          <w:rFonts w:hint="eastAsia"/>
          <w:lang w:eastAsia="ko-KR"/>
        </w:rPr>
        <w:t>2 reset</w:t>
      </w:r>
      <w:r w:rsidR="00C87068">
        <w:rPr>
          <w:lang w:eastAsia="ko-KR"/>
        </w:rPr>
        <w:t xml:space="preserve"> as well as RACH procedure</w:t>
      </w:r>
      <w:r w:rsidR="009B3052">
        <w:rPr>
          <w:lang w:eastAsia="ko-KR"/>
        </w:rPr>
        <w:t>)</w:t>
      </w:r>
      <w:r w:rsidR="00036C6B">
        <w:rPr>
          <w:lang w:eastAsia="ko-KR"/>
        </w:rPr>
        <w:t xml:space="preserve">, and called SCG change. </w:t>
      </w:r>
    </w:p>
    <w:p w14:paraId="36517464" w14:textId="69CEAF1D" w:rsidR="003A77D3" w:rsidRDefault="00C87068" w:rsidP="00501319">
      <w:pPr>
        <w:jc w:val="both"/>
        <w:rPr>
          <w:lang w:eastAsia="ko-KR"/>
        </w:rPr>
      </w:pPr>
      <w:r>
        <w:rPr>
          <w:lang w:eastAsia="ko-KR"/>
        </w:rPr>
        <w:t xml:space="preserve">Different with LTE DC, in ENDC all the bearer type change seems not to be involved with mobility cases. For example, </w:t>
      </w:r>
      <w:r w:rsidR="006D696E">
        <w:rPr>
          <w:lang w:eastAsia="ko-KR"/>
        </w:rPr>
        <w:t xml:space="preserve">MCG to/from MCG split </w:t>
      </w:r>
      <w:r w:rsidR="00036C6B">
        <w:rPr>
          <w:lang w:eastAsia="ko-KR"/>
        </w:rPr>
        <w:t xml:space="preserve">bearer </w:t>
      </w:r>
      <w:r w:rsidR="006D696E">
        <w:rPr>
          <w:lang w:eastAsia="ko-KR"/>
        </w:rPr>
        <w:t>or SCG to/from SCG split bearer without any change of keys, PDCP version or PDCP anchor point might be possible without mobility</w:t>
      </w:r>
      <w:r w:rsidR="00CA0A33">
        <w:rPr>
          <w:lang w:eastAsia="ko-KR"/>
        </w:rPr>
        <w:t xml:space="preserve"> (see the companion paper[1</w:t>
      </w:r>
      <w:r w:rsidR="00250B3C">
        <w:rPr>
          <w:lang w:eastAsia="ko-KR"/>
        </w:rPr>
        <w:t>])</w:t>
      </w:r>
      <w:r w:rsidR="006D696E">
        <w:rPr>
          <w:lang w:eastAsia="ko-KR"/>
        </w:rPr>
        <w:t xml:space="preserve">. Then this kind of bearer type change </w:t>
      </w:r>
      <w:r w:rsidR="003A77D3">
        <w:rPr>
          <w:lang w:eastAsia="ko-KR"/>
        </w:rPr>
        <w:t>is literally SCG change but does not need all L2 stack reset as well as RACH procedure.</w:t>
      </w:r>
      <w:r w:rsidR="00250B3C">
        <w:rPr>
          <w:lang w:eastAsia="ko-KR"/>
        </w:rPr>
        <w:t xml:space="preserve"> </w:t>
      </w:r>
    </w:p>
    <w:p w14:paraId="691945F9" w14:textId="7665603C" w:rsidR="003A77D3" w:rsidRPr="00BB4E61" w:rsidRDefault="003A77D3" w:rsidP="00501319">
      <w:pPr>
        <w:jc w:val="both"/>
        <w:rPr>
          <w:i/>
          <w:lang w:eastAsia="ko-KR"/>
        </w:rPr>
      </w:pPr>
      <w:r w:rsidRPr="00BB4E61">
        <w:rPr>
          <w:i/>
          <w:lang w:eastAsia="ko-KR"/>
        </w:rPr>
        <w:t>O</w:t>
      </w:r>
      <w:r w:rsidRPr="00BB4E61">
        <w:rPr>
          <w:rFonts w:hint="eastAsia"/>
          <w:i/>
          <w:lang w:eastAsia="ko-KR"/>
        </w:rPr>
        <w:t xml:space="preserve">bservation </w:t>
      </w:r>
      <w:r w:rsidR="006808FC">
        <w:rPr>
          <w:i/>
          <w:lang w:eastAsia="ko-KR"/>
        </w:rPr>
        <w:t>1</w:t>
      </w:r>
      <w:r w:rsidR="00F769B2" w:rsidRPr="00BB4E61">
        <w:rPr>
          <w:i/>
          <w:lang w:eastAsia="ko-KR"/>
        </w:rPr>
        <w:t xml:space="preserve">. There </w:t>
      </w:r>
      <w:r w:rsidR="00BB4E61" w:rsidRPr="00BB4E61">
        <w:rPr>
          <w:i/>
          <w:lang w:eastAsia="ko-KR"/>
        </w:rPr>
        <w:t xml:space="preserve">might be </w:t>
      </w:r>
      <w:r w:rsidR="00BB4E61">
        <w:rPr>
          <w:i/>
          <w:lang w:eastAsia="ko-KR"/>
        </w:rPr>
        <w:t>bearer type change</w:t>
      </w:r>
      <w:r w:rsidR="00250B3C">
        <w:rPr>
          <w:i/>
          <w:lang w:eastAsia="ko-KR"/>
        </w:rPr>
        <w:t>s</w:t>
      </w:r>
      <w:r w:rsidR="00BB4E61" w:rsidRPr="00BB4E61">
        <w:rPr>
          <w:i/>
          <w:lang w:eastAsia="ko-KR"/>
        </w:rPr>
        <w:t xml:space="preserve"> not involved with mobility in ENDC.</w:t>
      </w:r>
    </w:p>
    <w:p w14:paraId="5DE45A9D" w14:textId="23B69C89" w:rsidR="00250B3C" w:rsidRDefault="00F87DE3" w:rsidP="00501319">
      <w:pPr>
        <w:jc w:val="both"/>
        <w:rPr>
          <w:lang w:eastAsia="ko-KR"/>
        </w:rPr>
      </w:pPr>
      <w:r>
        <w:rPr>
          <w:lang w:eastAsia="ko-KR"/>
        </w:rPr>
        <w:t>Since “</w:t>
      </w:r>
      <w:r w:rsidR="00250B3C">
        <w:rPr>
          <w:rFonts w:hint="eastAsia"/>
          <w:lang w:eastAsia="ko-KR"/>
        </w:rPr>
        <w:t>SCG change</w:t>
      </w:r>
      <w:r>
        <w:rPr>
          <w:lang w:eastAsia="ko-KR"/>
        </w:rPr>
        <w:t>”</w:t>
      </w:r>
      <w:r w:rsidR="00250B3C">
        <w:rPr>
          <w:rFonts w:hint="eastAsia"/>
          <w:lang w:eastAsia="ko-KR"/>
        </w:rPr>
        <w:t xml:space="preserve"> </w:t>
      </w:r>
      <w:r>
        <w:rPr>
          <w:lang w:eastAsia="ko-KR"/>
        </w:rPr>
        <w:t>has been rather defined by the common corresponding procedure (mobility procedure) than literal meaning, it is better to redefine the SCG change case for ENDC. It is possible to define SCG change as the cases which still needs the</w:t>
      </w:r>
      <w:r w:rsidR="00A04FDE">
        <w:rPr>
          <w:lang w:eastAsia="ko-KR"/>
        </w:rPr>
        <w:t xml:space="preserve"> full</w:t>
      </w:r>
      <w:r>
        <w:rPr>
          <w:lang w:eastAsia="ko-KR"/>
        </w:rPr>
        <w:t xml:space="preserve"> mobility procedure. Then the other cases which doesn’t need full mobility procedure </w:t>
      </w:r>
      <w:r w:rsidR="00A04FDE">
        <w:rPr>
          <w:lang w:eastAsia="ko-KR"/>
        </w:rPr>
        <w:t xml:space="preserve">among former SCG change cases </w:t>
      </w:r>
      <w:r>
        <w:rPr>
          <w:lang w:eastAsia="ko-KR"/>
        </w:rPr>
        <w:t xml:space="preserve">can be </w:t>
      </w:r>
      <w:r w:rsidR="00A04FDE">
        <w:rPr>
          <w:lang w:eastAsia="ko-KR"/>
        </w:rPr>
        <w:t xml:space="preserve">categorized as “just reconfiguration”. </w:t>
      </w:r>
    </w:p>
    <w:p w14:paraId="3D91D0AE" w14:textId="17ADBFC9" w:rsidR="00A04FDE" w:rsidRPr="009F27B2" w:rsidRDefault="00A04FDE" w:rsidP="00501319">
      <w:pPr>
        <w:jc w:val="both"/>
        <w:rPr>
          <w:b/>
          <w:lang w:eastAsia="ko-KR"/>
        </w:rPr>
      </w:pPr>
      <w:r w:rsidRPr="009F27B2">
        <w:rPr>
          <w:b/>
          <w:lang w:eastAsia="ko-KR"/>
        </w:rPr>
        <w:t xml:space="preserve">Proposal </w:t>
      </w:r>
      <w:r w:rsidR="006808FC">
        <w:rPr>
          <w:b/>
          <w:lang w:eastAsia="ko-KR"/>
        </w:rPr>
        <w:t>1</w:t>
      </w:r>
      <w:r w:rsidRPr="009F27B2">
        <w:rPr>
          <w:b/>
          <w:lang w:eastAsia="ko-KR"/>
        </w:rPr>
        <w:t xml:space="preserve">. In ENDC, SCG change should be redefined to include cases where MAC reset and RACH operation </w:t>
      </w:r>
      <w:r w:rsidR="009F27B2" w:rsidRPr="009F27B2">
        <w:rPr>
          <w:b/>
          <w:lang w:eastAsia="ko-KR"/>
        </w:rPr>
        <w:t>are necessary.</w:t>
      </w:r>
    </w:p>
    <w:p w14:paraId="1FC5CA95" w14:textId="57FD776F" w:rsidR="003A77D3" w:rsidRDefault="003A77D3" w:rsidP="00501319">
      <w:pPr>
        <w:jc w:val="both"/>
        <w:rPr>
          <w:lang w:eastAsia="ko-KR"/>
        </w:rPr>
      </w:pPr>
      <w:r>
        <w:rPr>
          <w:lang w:eastAsia="ko-KR"/>
        </w:rPr>
        <w:t xml:space="preserve"> Since we already agreed that MN or SN can put “SCG change Indication” in their SN </w:t>
      </w:r>
      <w:r w:rsidR="009F27B2">
        <w:rPr>
          <w:lang w:eastAsia="ko-KR"/>
        </w:rPr>
        <w:t xml:space="preserve">MODICFICATION REQUEST or REQUIRED </w:t>
      </w:r>
      <w:r w:rsidR="004872A1">
        <w:rPr>
          <w:lang w:eastAsia="ko-KR"/>
        </w:rPr>
        <w:t>message</w:t>
      </w:r>
      <w:r>
        <w:rPr>
          <w:lang w:eastAsia="ko-KR"/>
        </w:rPr>
        <w:t xml:space="preserve">. And this indication </w:t>
      </w:r>
      <w:r w:rsidR="004872A1">
        <w:rPr>
          <w:lang w:eastAsia="ko-KR"/>
        </w:rPr>
        <w:t>is used for SN to prepare the SCG change related operation</w:t>
      </w:r>
      <w:r w:rsidR="00A04FDE">
        <w:rPr>
          <w:lang w:eastAsia="ko-KR"/>
        </w:rPr>
        <w:t xml:space="preserve"> (for reducing</w:t>
      </w:r>
      <w:r w:rsidR="009F27B2">
        <w:rPr>
          <w:lang w:eastAsia="ko-KR"/>
        </w:rPr>
        <w:t xml:space="preserve"> </w:t>
      </w:r>
      <w:r w:rsidR="00A04FDE">
        <w:rPr>
          <w:lang w:eastAsia="ko-KR"/>
        </w:rPr>
        <w:t>latency for L2 re-establishing</w:t>
      </w:r>
      <w:r w:rsidR="009F27B2">
        <w:rPr>
          <w:lang w:eastAsia="ko-KR"/>
        </w:rPr>
        <w:t xml:space="preserve"> at SN</w:t>
      </w:r>
      <w:r w:rsidR="00A04FDE">
        <w:rPr>
          <w:lang w:eastAsia="ko-KR"/>
        </w:rPr>
        <w:t xml:space="preserve">). </w:t>
      </w:r>
      <w:r w:rsidR="009F27B2">
        <w:rPr>
          <w:lang w:eastAsia="ko-KR"/>
        </w:rPr>
        <w:t>This new</w:t>
      </w:r>
      <w:r w:rsidR="00A04FDE">
        <w:rPr>
          <w:lang w:eastAsia="ko-KR"/>
        </w:rPr>
        <w:t>ly redefine</w:t>
      </w:r>
      <w:r w:rsidR="009F27B2">
        <w:rPr>
          <w:lang w:eastAsia="ko-KR"/>
        </w:rPr>
        <w:t>d SCG change case also should be reflected to inter node message “SCG change Indication”. RAN2 should send LS to RAN3 for informing that SCG change indication can be used for newly defined SCG change cases.</w:t>
      </w:r>
    </w:p>
    <w:p w14:paraId="63DCB10B" w14:textId="34E32851" w:rsidR="0087304A" w:rsidRDefault="0087304A" w:rsidP="00501319">
      <w:pPr>
        <w:jc w:val="both"/>
        <w:rPr>
          <w:b/>
          <w:lang w:eastAsia="ko-KR"/>
        </w:rPr>
      </w:pPr>
      <w:r w:rsidRPr="0087304A">
        <w:rPr>
          <w:rFonts w:hint="eastAsia"/>
          <w:b/>
          <w:lang w:eastAsia="ko-KR"/>
        </w:rPr>
        <w:t xml:space="preserve">Proposal </w:t>
      </w:r>
      <w:r w:rsidR="006808FC">
        <w:rPr>
          <w:b/>
          <w:lang w:eastAsia="ko-KR"/>
        </w:rPr>
        <w:t>2</w:t>
      </w:r>
      <w:r w:rsidRPr="0087304A">
        <w:rPr>
          <w:b/>
          <w:lang w:eastAsia="ko-KR"/>
        </w:rPr>
        <w:t xml:space="preserve">. </w:t>
      </w:r>
      <w:r w:rsidR="009F27B2">
        <w:rPr>
          <w:b/>
          <w:lang w:eastAsia="ko-KR"/>
        </w:rPr>
        <w:t>RAN2 should send LS to RAN3 for informing that SCG change indication can be used for newly defined SCG change cases.</w:t>
      </w:r>
      <w:r w:rsidRPr="0087304A">
        <w:rPr>
          <w:b/>
          <w:lang w:eastAsia="ko-KR"/>
        </w:rPr>
        <w:t xml:space="preserve"> </w:t>
      </w:r>
    </w:p>
    <w:p w14:paraId="1EBB1028" w14:textId="20D54C8B" w:rsidR="009F27B2" w:rsidRDefault="009F27B2" w:rsidP="00501319">
      <w:pPr>
        <w:jc w:val="both"/>
        <w:rPr>
          <w:b/>
          <w:lang w:eastAsia="ko-KR"/>
        </w:rPr>
      </w:pPr>
    </w:p>
    <w:p w14:paraId="3AA08CE2" w14:textId="77777777" w:rsidR="00A341BA" w:rsidRDefault="00A341BA" w:rsidP="00A341BA">
      <w:pPr>
        <w:pStyle w:val="1"/>
        <w:jc w:val="both"/>
      </w:pPr>
      <w:r>
        <w:t>3</w:t>
      </w:r>
      <w:r>
        <w:tab/>
        <w:t xml:space="preserve">Information for DRB configuration in ENDC </w:t>
      </w:r>
    </w:p>
    <w:p w14:paraId="3C497C90" w14:textId="77777777" w:rsidR="00A341BA" w:rsidRDefault="00A341BA" w:rsidP="00A341BA">
      <w:pPr>
        <w:jc w:val="both"/>
        <w:rPr>
          <w:lang w:eastAsia="ko-KR"/>
        </w:rPr>
      </w:pPr>
      <w:r>
        <w:rPr>
          <w:lang w:eastAsia="ko-KR"/>
        </w:rPr>
        <w:t xml:space="preserve">In SN addition, MN should give the information on DRB to be added. The basic information which was agreed is DRB id. Since the location of PDCP entity should be determined by MN as agreed in AH2, and SN has to configure corresponding radio resource, there must be a PDCP location information per each DRB to be added for SN addition. </w:t>
      </w:r>
    </w:p>
    <w:p w14:paraId="6A3C7E92" w14:textId="77777777" w:rsidR="00A341BA" w:rsidRDefault="00A341BA" w:rsidP="00A341BA">
      <w:pPr>
        <w:jc w:val="both"/>
        <w:rPr>
          <w:b/>
          <w:lang w:eastAsia="ko-KR"/>
        </w:rPr>
      </w:pPr>
      <w:r>
        <w:rPr>
          <w:b/>
          <w:lang w:eastAsia="ko-KR"/>
        </w:rPr>
        <w:t>Proposal 4. MN should give the information to SN on the PDCP location per each DRB to be added besides DRB IDs for SN addition procedure.</w:t>
      </w:r>
    </w:p>
    <w:p w14:paraId="2DD09436" w14:textId="77777777" w:rsidR="00A341BA" w:rsidRDefault="00A341BA" w:rsidP="00A341BA">
      <w:pPr>
        <w:jc w:val="both"/>
        <w:rPr>
          <w:lang w:eastAsia="ko-KR"/>
        </w:rPr>
      </w:pPr>
      <w:r>
        <w:rPr>
          <w:lang w:eastAsia="ko-KR"/>
        </w:rPr>
        <w:t xml:space="preserve">For the other information, DRB type also should be given to SN from MN. Since DRB type has information of where PDCP location is per that DRB, DRB type information can be used not only for DRB type indication itself but for PDCP location information. Of course, this DRB type should be one of three options: MCG split, SCG, SCG split. </w:t>
      </w:r>
    </w:p>
    <w:p w14:paraId="35D2A80C" w14:textId="77777777" w:rsidR="00A341BA" w:rsidRDefault="00A341BA" w:rsidP="00A341BA">
      <w:pPr>
        <w:jc w:val="both"/>
        <w:rPr>
          <w:b/>
          <w:lang w:eastAsia="ko-KR"/>
        </w:rPr>
      </w:pPr>
      <w:r>
        <w:rPr>
          <w:b/>
          <w:lang w:eastAsia="ko-KR"/>
        </w:rPr>
        <w:t>Proposal 5. DRB type information per each DRB to be added should be given to SN for SN addition procedure in the one form of the three options: MCG split, SCG, SCG split bearer.</w:t>
      </w:r>
    </w:p>
    <w:p w14:paraId="6D859253" w14:textId="5B324390" w:rsidR="00A341BA" w:rsidRDefault="00A341BA" w:rsidP="00A341BA">
      <w:pPr>
        <w:jc w:val="both"/>
        <w:rPr>
          <w:b/>
          <w:lang w:eastAsia="ko-KR"/>
        </w:rPr>
      </w:pPr>
      <w:r>
        <w:rPr>
          <w:b/>
          <w:lang w:eastAsia="ko-KR"/>
        </w:rPr>
        <w:t>Proposal 6. FFS: for the other parameters.</w:t>
      </w:r>
    </w:p>
    <w:p w14:paraId="31E630A3" w14:textId="77777777" w:rsidR="00A341BA" w:rsidRPr="00A341BA" w:rsidRDefault="00A341BA" w:rsidP="00501319">
      <w:pPr>
        <w:jc w:val="both"/>
        <w:rPr>
          <w:b/>
          <w:lang w:eastAsia="ko-KR"/>
        </w:rPr>
      </w:pPr>
    </w:p>
    <w:p w14:paraId="766D29C2" w14:textId="77777777" w:rsidR="00E05071" w:rsidRDefault="00E05071" w:rsidP="00501319">
      <w:pPr>
        <w:jc w:val="both"/>
        <w:rPr>
          <w:lang w:eastAsia="ko-KR"/>
        </w:rPr>
      </w:pPr>
    </w:p>
    <w:p w14:paraId="54E7FA00" w14:textId="275D1787" w:rsidR="00E05071" w:rsidRDefault="006808FC" w:rsidP="00501319">
      <w:pPr>
        <w:pStyle w:val="1"/>
        <w:jc w:val="both"/>
      </w:pPr>
      <w:r>
        <w:t>3</w:t>
      </w:r>
      <w:r w:rsidR="00E05071">
        <w:t>.</w:t>
      </w:r>
      <w:r w:rsidR="00E05071">
        <w:tab/>
        <w:t xml:space="preserve">Conclusion  </w:t>
      </w:r>
    </w:p>
    <w:p w14:paraId="1586FB8E" w14:textId="35FD2ED9" w:rsidR="00E05071" w:rsidRDefault="00E05071" w:rsidP="00501319">
      <w:pPr>
        <w:jc w:val="both"/>
        <w:rPr>
          <w:lang w:eastAsia="ko-KR"/>
        </w:rPr>
      </w:pPr>
      <w:r w:rsidRPr="00E05071">
        <w:rPr>
          <w:rFonts w:hint="eastAsia"/>
          <w:lang w:eastAsia="ko-KR"/>
        </w:rPr>
        <w:t xml:space="preserve">In this </w:t>
      </w:r>
      <w:r>
        <w:rPr>
          <w:lang w:eastAsia="ko-KR"/>
        </w:rPr>
        <w:t>contribution, SCG change definition</w:t>
      </w:r>
      <w:r w:rsidR="00A341BA">
        <w:rPr>
          <w:lang w:eastAsia="ko-KR"/>
        </w:rPr>
        <w:t xml:space="preserve"> and information for DRB configuration</w:t>
      </w:r>
      <w:r>
        <w:rPr>
          <w:lang w:eastAsia="ko-KR"/>
        </w:rPr>
        <w:t xml:space="preserve"> in NSA procedure </w:t>
      </w:r>
      <w:r w:rsidR="00A341BA">
        <w:rPr>
          <w:lang w:eastAsia="ko-KR"/>
        </w:rPr>
        <w:t>are</w:t>
      </w:r>
      <w:r>
        <w:rPr>
          <w:lang w:eastAsia="ko-KR"/>
        </w:rPr>
        <w:t xml:space="preserve"> discussed</w:t>
      </w:r>
      <w:r w:rsidR="00A341BA">
        <w:rPr>
          <w:lang w:eastAsia="ko-KR"/>
        </w:rPr>
        <w:t xml:space="preserve"> separately</w:t>
      </w:r>
      <w:r>
        <w:rPr>
          <w:lang w:eastAsia="ko-KR"/>
        </w:rPr>
        <w:t xml:space="preserve">. We </w:t>
      </w:r>
      <w:r w:rsidR="006808FC">
        <w:rPr>
          <w:lang w:eastAsia="ko-KR"/>
        </w:rPr>
        <w:t>have</w:t>
      </w:r>
      <w:r>
        <w:rPr>
          <w:lang w:eastAsia="ko-KR"/>
        </w:rPr>
        <w:t xml:space="preserve"> the following observations and corresponding proposals.</w:t>
      </w:r>
    </w:p>
    <w:p w14:paraId="4CFAFABF" w14:textId="34677B2D" w:rsidR="00985300" w:rsidRDefault="00985300" w:rsidP="00501319">
      <w:pPr>
        <w:jc w:val="both"/>
        <w:rPr>
          <w:lang w:eastAsia="ko-KR"/>
        </w:rPr>
      </w:pPr>
      <w:r>
        <w:rPr>
          <w:lang w:eastAsia="ko-KR"/>
        </w:rPr>
        <w:t>For SCG change definition:</w:t>
      </w:r>
    </w:p>
    <w:p w14:paraId="5BD02FAA" w14:textId="5CC172CF" w:rsidR="00E05071" w:rsidRDefault="00E05071" w:rsidP="00501319">
      <w:pPr>
        <w:jc w:val="both"/>
        <w:rPr>
          <w:lang w:eastAsia="ko-KR"/>
        </w:rPr>
      </w:pPr>
    </w:p>
    <w:p w14:paraId="02691079" w14:textId="77777777" w:rsidR="006808FC" w:rsidRPr="00BB4E61" w:rsidRDefault="006808FC" w:rsidP="006808FC">
      <w:pPr>
        <w:jc w:val="both"/>
        <w:rPr>
          <w:i/>
          <w:lang w:eastAsia="ko-KR"/>
        </w:rPr>
      </w:pPr>
      <w:r w:rsidRPr="00BB4E61">
        <w:rPr>
          <w:i/>
          <w:lang w:eastAsia="ko-KR"/>
        </w:rPr>
        <w:t>O</w:t>
      </w:r>
      <w:r w:rsidRPr="00BB4E61">
        <w:rPr>
          <w:rFonts w:hint="eastAsia"/>
          <w:i/>
          <w:lang w:eastAsia="ko-KR"/>
        </w:rPr>
        <w:t xml:space="preserve">bservation </w:t>
      </w:r>
      <w:r>
        <w:rPr>
          <w:i/>
          <w:lang w:eastAsia="ko-KR"/>
        </w:rPr>
        <w:t>1</w:t>
      </w:r>
      <w:r w:rsidRPr="00BB4E61">
        <w:rPr>
          <w:i/>
          <w:lang w:eastAsia="ko-KR"/>
        </w:rPr>
        <w:t xml:space="preserve">. There might be </w:t>
      </w:r>
      <w:r>
        <w:rPr>
          <w:i/>
          <w:lang w:eastAsia="ko-KR"/>
        </w:rPr>
        <w:t>bearer type changes</w:t>
      </w:r>
      <w:r w:rsidRPr="00BB4E61">
        <w:rPr>
          <w:i/>
          <w:lang w:eastAsia="ko-KR"/>
        </w:rPr>
        <w:t xml:space="preserve"> not involved with mobility in ENDC.</w:t>
      </w:r>
    </w:p>
    <w:p w14:paraId="6BFA9EFE" w14:textId="77777777" w:rsidR="006808FC" w:rsidRPr="009F27B2" w:rsidRDefault="006808FC" w:rsidP="006808FC">
      <w:pPr>
        <w:jc w:val="both"/>
        <w:rPr>
          <w:b/>
          <w:lang w:eastAsia="ko-KR"/>
        </w:rPr>
      </w:pPr>
      <w:r w:rsidRPr="009F27B2">
        <w:rPr>
          <w:b/>
          <w:lang w:eastAsia="ko-KR"/>
        </w:rPr>
        <w:t xml:space="preserve">Proposal </w:t>
      </w:r>
      <w:r>
        <w:rPr>
          <w:b/>
          <w:lang w:eastAsia="ko-KR"/>
        </w:rPr>
        <w:t>1</w:t>
      </w:r>
      <w:r w:rsidRPr="009F27B2">
        <w:rPr>
          <w:b/>
          <w:lang w:eastAsia="ko-KR"/>
        </w:rPr>
        <w:t>. In ENDC, SCG change should be redefined to include cases where MAC reset and RACH operation are necessary.</w:t>
      </w:r>
    </w:p>
    <w:p w14:paraId="3CC0AE62" w14:textId="77777777" w:rsidR="006808FC" w:rsidRDefault="006808FC" w:rsidP="006808FC">
      <w:pPr>
        <w:jc w:val="both"/>
        <w:rPr>
          <w:b/>
          <w:lang w:eastAsia="ko-KR"/>
        </w:rPr>
      </w:pPr>
      <w:r w:rsidRPr="0087304A">
        <w:rPr>
          <w:rFonts w:hint="eastAsia"/>
          <w:b/>
          <w:lang w:eastAsia="ko-KR"/>
        </w:rPr>
        <w:t xml:space="preserve">Proposal </w:t>
      </w:r>
      <w:r>
        <w:rPr>
          <w:b/>
          <w:lang w:eastAsia="ko-KR"/>
        </w:rPr>
        <w:t>2</w:t>
      </w:r>
      <w:r w:rsidRPr="0087304A">
        <w:rPr>
          <w:b/>
          <w:lang w:eastAsia="ko-KR"/>
        </w:rPr>
        <w:t xml:space="preserve">. </w:t>
      </w:r>
      <w:r>
        <w:rPr>
          <w:b/>
          <w:lang w:eastAsia="ko-KR"/>
        </w:rPr>
        <w:t>RAN2 should send LS to RAN3 for informing that SCG change indication can be used for newly defined SCG change cases.</w:t>
      </w:r>
      <w:r w:rsidRPr="0087304A">
        <w:rPr>
          <w:b/>
          <w:lang w:eastAsia="ko-KR"/>
        </w:rPr>
        <w:t xml:space="preserve"> </w:t>
      </w:r>
    </w:p>
    <w:p w14:paraId="6C71AAB1" w14:textId="77777777" w:rsidR="004929E9" w:rsidRDefault="004929E9" w:rsidP="00501319">
      <w:pPr>
        <w:jc w:val="both"/>
        <w:rPr>
          <w:lang w:eastAsia="ko-KR"/>
        </w:rPr>
      </w:pPr>
    </w:p>
    <w:p w14:paraId="045E582D" w14:textId="7DBA3AE0" w:rsidR="00E05071" w:rsidRDefault="00985300" w:rsidP="00501319">
      <w:pPr>
        <w:jc w:val="both"/>
        <w:rPr>
          <w:lang w:eastAsia="ko-KR"/>
        </w:rPr>
      </w:pPr>
      <w:r>
        <w:rPr>
          <w:rFonts w:hint="eastAsia"/>
          <w:lang w:eastAsia="ko-KR"/>
        </w:rPr>
        <w:t xml:space="preserve">For </w:t>
      </w:r>
      <w:r>
        <w:rPr>
          <w:lang w:eastAsia="ko-KR"/>
        </w:rPr>
        <w:t>information for DRB configuration in ENDC</w:t>
      </w:r>
    </w:p>
    <w:p w14:paraId="0D371B9C" w14:textId="77777777" w:rsidR="00A341BA" w:rsidRDefault="00A341BA" w:rsidP="00A341BA">
      <w:pPr>
        <w:jc w:val="both"/>
        <w:rPr>
          <w:b/>
          <w:lang w:eastAsia="ko-KR"/>
        </w:rPr>
      </w:pPr>
      <w:r>
        <w:rPr>
          <w:b/>
          <w:lang w:eastAsia="ko-KR"/>
        </w:rPr>
        <w:t>Proposal 4. MN should give the information to SN on the PDCP location per each DRB to be added besides DRB IDs for SN addition procedure.</w:t>
      </w:r>
    </w:p>
    <w:p w14:paraId="74CA89C3" w14:textId="77777777" w:rsidR="00A341BA" w:rsidRDefault="00A341BA" w:rsidP="00A341BA">
      <w:pPr>
        <w:jc w:val="both"/>
        <w:rPr>
          <w:b/>
          <w:lang w:eastAsia="ko-KR"/>
        </w:rPr>
      </w:pPr>
      <w:r>
        <w:rPr>
          <w:b/>
          <w:lang w:eastAsia="ko-KR"/>
        </w:rPr>
        <w:t>Proposal 5. DRB type information per each DRB to be added should be given to SN for SN addition procedure in the one form of the three options: MCG split, SCG, SCG split bearer.</w:t>
      </w:r>
    </w:p>
    <w:p w14:paraId="1913F7C0" w14:textId="2E14489C" w:rsidR="00A341BA" w:rsidRDefault="00A341BA" w:rsidP="00A341BA">
      <w:pPr>
        <w:jc w:val="both"/>
        <w:rPr>
          <w:b/>
          <w:lang w:eastAsia="ko-KR"/>
        </w:rPr>
      </w:pPr>
      <w:r>
        <w:rPr>
          <w:b/>
          <w:lang w:eastAsia="ko-KR"/>
        </w:rPr>
        <w:t>Proposal 6. FFS: for the other parameters.</w:t>
      </w:r>
    </w:p>
    <w:p w14:paraId="2437D6C5" w14:textId="77777777" w:rsidR="00A341BA" w:rsidRPr="00A341BA" w:rsidRDefault="00A341BA" w:rsidP="00501319">
      <w:pPr>
        <w:jc w:val="both"/>
        <w:rPr>
          <w:lang w:eastAsia="ko-KR"/>
        </w:rPr>
      </w:pPr>
    </w:p>
    <w:p w14:paraId="03D685A9" w14:textId="59D4CDCA" w:rsidR="00CA0A33" w:rsidRDefault="00CA0A33" w:rsidP="00CA0A33">
      <w:pPr>
        <w:pStyle w:val="1"/>
        <w:jc w:val="both"/>
      </w:pPr>
      <w:r>
        <w:t>4</w:t>
      </w:r>
      <w:r>
        <w:t>.</w:t>
      </w:r>
      <w:r>
        <w:tab/>
      </w:r>
      <w:r>
        <w:rPr>
          <w:lang w:eastAsia="ko-KR"/>
        </w:rPr>
        <w:t xml:space="preserve">References </w:t>
      </w:r>
      <w:r>
        <w:t xml:space="preserve">  </w:t>
      </w:r>
    </w:p>
    <w:p w14:paraId="26BE261E" w14:textId="2F6C353E" w:rsidR="00E05071" w:rsidRDefault="00CA0A33" w:rsidP="00CA0A33">
      <w:pPr>
        <w:jc w:val="both"/>
        <w:rPr>
          <w:lang w:eastAsia="ko-KR"/>
        </w:rPr>
      </w:pPr>
      <w:r>
        <w:rPr>
          <w:lang w:eastAsia="ko-KR"/>
        </w:rPr>
        <w:t xml:space="preserve">[1] </w:t>
      </w:r>
      <w:r w:rsidRPr="00CA0A33">
        <w:rPr>
          <w:lang w:eastAsia="ko-KR"/>
        </w:rPr>
        <w:t>R2-1708438</w:t>
      </w:r>
      <w:r>
        <w:rPr>
          <w:rFonts w:hint="eastAsia"/>
          <w:lang w:eastAsia="ko-KR"/>
        </w:rPr>
        <w:t xml:space="preserve">, </w:t>
      </w:r>
      <w:r w:rsidRPr="00CA0A33">
        <w:rPr>
          <w:lang w:eastAsia="ko-KR"/>
        </w:rPr>
        <w:t>Allowed Bearer  type changes and L2 handling</w:t>
      </w:r>
      <w:r>
        <w:rPr>
          <w:lang w:eastAsia="ko-KR"/>
        </w:rPr>
        <w:t>, Samsung</w:t>
      </w:r>
    </w:p>
    <w:sectPr w:rsidR="00E050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45B5C" w14:textId="77777777" w:rsidR="00497205" w:rsidRDefault="00497205">
      <w:r>
        <w:separator/>
      </w:r>
    </w:p>
  </w:endnote>
  <w:endnote w:type="continuationSeparator" w:id="0">
    <w:p w14:paraId="319BBF07" w14:textId="77777777" w:rsidR="00497205" w:rsidRDefault="0049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D7F27" w14:textId="77777777" w:rsidR="00497205" w:rsidRDefault="00497205">
      <w:r>
        <w:separator/>
      </w:r>
    </w:p>
  </w:footnote>
  <w:footnote w:type="continuationSeparator" w:id="0">
    <w:p w14:paraId="0EDDD8AE" w14:textId="77777777" w:rsidR="00497205" w:rsidRDefault="004972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36C6B"/>
    <w:rsid w:val="00040095"/>
    <w:rsid w:val="00040099"/>
    <w:rsid w:val="00051117"/>
    <w:rsid w:val="000549BF"/>
    <w:rsid w:val="00062DC4"/>
    <w:rsid w:val="00064983"/>
    <w:rsid w:val="00080512"/>
    <w:rsid w:val="000830C7"/>
    <w:rsid w:val="0008391A"/>
    <w:rsid w:val="00090468"/>
    <w:rsid w:val="000A69D9"/>
    <w:rsid w:val="000B4A13"/>
    <w:rsid w:val="000B7BCF"/>
    <w:rsid w:val="000C522B"/>
    <w:rsid w:val="000D58AB"/>
    <w:rsid w:val="000F3E3C"/>
    <w:rsid w:val="000F77C8"/>
    <w:rsid w:val="001201E1"/>
    <w:rsid w:val="00140605"/>
    <w:rsid w:val="00142188"/>
    <w:rsid w:val="00145075"/>
    <w:rsid w:val="00156B3C"/>
    <w:rsid w:val="001741A0"/>
    <w:rsid w:val="00194CD0"/>
    <w:rsid w:val="001B49C9"/>
    <w:rsid w:val="001B6FCA"/>
    <w:rsid w:val="001B7E5B"/>
    <w:rsid w:val="001D6A1A"/>
    <w:rsid w:val="001F168B"/>
    <w:rsid w:val="001F1FB3"/>
    <w:rsid w:val="001F58AC"/>
    <w:rsid w:val="001F7831"/>
    <w:rsid w:val="00204045"/>
    <w:rsid w:val="002121B6"/>
    <w:rsid w:val="0021316D"/>
    <w:rsid w:val="00215060"/>
    <w:rsid w:val="0022606D"/>
    <w:rsid w:val="002311DA"/>
    <w:rsid w:val="00250B3C"/>
    <w:rsid w:val="002540C8"/>
    <w:rsid w:val="00261416"/>
    <w:rsid w:val="002747EC"/>
    <w:rsid w:val="002753D9"/>
    <w:rsid w:val="00283DBB"/>
    <w:rsid w:val="002855BF"/>
    <w:rsid w:val="002A0F18"/>
    <w:rsid w:val="002A718B"/>
    <w:rsid w:val="002C5321"/>
    <w:rsid w:val="002D77BE"/>
    <w:rsid w:val="002F0D22"/>
    <w:rsid w:val="002F2EAF"/>
    <w:rsid w:val="002F6411"/>
    <w:rsid w:val="00304CA2"/>
    <w:rsid w:val="0030602F"/>
    <w:rsid w:val="00312788"/>
    <w:rsid w:val="00314CDF"/>
    <w:rsid w:val="003172DC"/>
    <w:rsid w:val="00326069"/>
    <w:rsid w:val="00327202"/>
    <w:rsid w:val="00334557"/>
    <w:rsid w:val="00353FEC"/>
    <w:rsid w:val="0035462D"/>
    <w:rsid w:val="0035676E"/>
    <w:rsid w:val="003577E7"/>
    <w:rsid w:val="003603DD"/>
    <w:rsid w:val="0038353E"/>
    <w:rsid w:val="00384527"/>
    <w:rsid w:val="00395502"/>
    <w:rsid w:val="003A477F"/>
    <w:rsid w:val="003A77D3"/>
    <w:rsid w:val="003B40AD"/>
    <w:rsid w:val="003C4E37"/>
    <w:rsid w:val="003C61A2"/>
    <w:rsid w:val="003E16BE"/>
    <w:rsid w:val="003F5DD9"/>
    <w:rsid w:val="0040137E"/>
    <w:rsid w:val="00401855"/>
    <w:rsid w:val="004039BE"/>
    <w:rsid w:val="00431A4F"/>
    <w:rsid w:val="004338D6"/>
    <w:rsid w:val="00443828"/>
    <w:rsid w:val="00477455"/>
    <w:rsid w:val="004872A1"/>
    <w:rsid w:val="004929E9"/>
    <w:rsid w:val="00497205"/>
    <w:rsid w:val="004A0CF2"/>
    <w:rsid w:val="004A1C37"/>
    <w:rsid w:val="004B3376"/>
    <w:rsid w:val="004D3578"/>
    <w:rsid w:val="004D380D"/>
    <w:rsid w:val="004E213A"/>
    <w:rsid w:val="00501319"/>
    <w:rsid w:val="00503171"/>
    <w:rsid w:val="00503FFD"/>
    <w:rsid w:val="00506C28"/>
    <w:rsid w:val="00534DA0"/>
    <w:rsid w:val="00543D6F"/>
    <w:rsid w:val="00543E6C"/>
    <w:rsid w:val="00547D9D"/>
    <w:rsid w:val="005614B7"/>
    <w:rsid w:val="005629C3"/>
    <w:rsid w:val="00565087"/>
    <w:rsid w:val="0056573F"/>
    <w:rsid w:val="005725CD"/>
    <w:rsid w:val="0059212E"/>
    <w:rsid w:val="005953EA"/>
    <w:rsid w:val="005B45BF"/>
    <w:rsid w:val="00611566"/>
    <w:rsid w:val="00614121"/>
    <w:rsid w:val="00616E25"/>
    <w:rsid w:val="00623267"/>
    <w:rsid w:val="006236C4"/>
    <w:rsid w:val="00646D99"/>
    <w:rsid w:val="00656910"/>
    <w:rsid w:val="00666FD1"/>
    <w:rsid w:val="006808FC"/>
    <w:rsid w:val="00687111"/>
    <w:rsid w:val="00687E75"/>
    <w:rsid w:val="006B10D3"/>
    <w:rsid w:val="006B5EFA"/>
    <w:rsid w:val="006C66D8"/>
    <w:rsid w:val="006D1B06"/>
    <w:rsid w:val="006D1E24"/>
    <w:rsid w:val="006D696E"/>
    <w:rsid w:val="006D6C2F"/>
    <w:rsid w:val="006E1417"/>
    <w:rsid w:val="006F6A2C"/>
    <w:rsid w:val="007002F5"/>
    <w:rsid w:val="00710881"/>
    <w:rsid w:val="00710D17"/>
    <w:rsid w:val="00726FCA"/>
    <w:rsid w:val="00734A5B"/>
    <w:rsid w:val="00742F11"/>
    <w:rsid w:val="00744E76"/>
    <w:rsid w:val="00747BEA"/>
    <w:rsid w:val="00753410"/>
    <w:rsid w:val="00757D40"/>
    <w:rsid w:val="00781F0F"/>
    <w:rsid w:val="0078727C"/>
    <w:rsid w:val="0079049D"/>
    <w:rsid w:val="00791E6F"/>
    <w:rsid w:val="007A3B6F"/>
    <w:rsid w:val="007A437A"/>
    <w:rsid w:val="007B082E"/>
    <w:rsid w:val="007B18D8"/>
    <w:rsid w:val="007C095F"/>
    <w:rsid w:val="007E26AA"/>
    <w:rsid w:val="007F0743"/>
    <w:rsid w:val="007F5EA2"/>
    <w:rsid w:val="007F6E1C"/>
    <w:rsid w:val="008028A4"/>
    <w:rsid w:val="00813245"/>
    <w:rsid w:val="008447E9"/>
    <w:rsid w:val="00872677"/>
    <w:rsid w:val="0087304A"/>
    <w:rsid w:val="008768CA"/>
    <w:rsid w:val="00877EF9"/>
    <w:rsid w:val="00880559"/>
    <w:rsid w:val="008A4828"/>
    <w:rsid w:val="008B2317"/>
    <w:rsid w:val="008B5306"/>
    <w:rsid w:val="008D5C15"/>
    <w:rsid w:val="008F3DC4"/>
    <w:rsid w:val="0090271F"/>
    <w:rsid w:val="00902DB9"/>
    <w:rsid w:val="0090466A"/>
    <w:rsid w:val="00905431"/>
    <w:rsid w:val="0091610A"/>
    <w:rsid w:val="009166CE"/>
    <w:rsid w:val="00933339"/>
    <w:rsid w:val="00936071"/>
    <w:rsid w:val="00940212"/>
    <w:rsid w:val="00942EC2"/>
    <w:rsid w:val="00951666"/>
    <w:rsid w:val="00961B32"/>
    <w:rsid w:val="00971A12"/>
    <w:rsid w:val="00974BB0"/>
    <w:rsid w:val="009751BF"/>
    <w:rsid w:val="0098024A"/>
    <w:rsid w:val="00981550"/>
    <w:rsid w:val="00985300"/>
    <w:rsid w:val="009A0AF3"/>
    <w:rsid w:val="009A75F4"/>
    <w:rsid w:val="009B07CD"/>
    <w:rsid w:val="009B13B6"/>
    <w:rsid w:val="009B3052"/>
    <w:rsid w:val="009C001C"/>
    <w:rsid w:val="009C19E9"/>
    <w:rsid w:val="009C39D3"/>
    <w:rsid w:val="009D3CB0"/>
    <w:rsid w:val="009E0F0A"/>
    <w:rsid w:val="009F27B2"/>
    <w:rsid w:val="009F5BE6"/>
    <w:rsid w:val="00A00BE2"/>
    <w:rsid w:val="00A04FDE"/>
    <w:rsid w:val="00A10F02"/>
    <w:rsid w:val="00A17126"/>
    <w:rsid w:val="00A204CA"/>
    <w:rsid w:val="00A227CA"/>
    <w:rsid w:val="00A22B0E"/>
    <w:rsid w:val="00A341BA"/>
    <w:rsid w:val="00A42C5C"/>
    <w:rsid w:val="00A53724"/>
    <w:rsid w:val="00A61856"/>
    <w:rsid w:val="00A763E0"/>
    <w:rsid w:val="00A76573"/>
    <w:rsid w:val="00A770DA"/>
    <w:rsid w:val="00A81376"/>
    <w:rsid w:val="00A82346"/>
    <w:rsid w:val="00A86460"/>
    <w:rsid w:val="00A87D2A"/>
    <w:rsid w:val="00A9671C"/>
    <w:rsid w:val="00A97BE4"/>
    <w:rsid w:val="00AA096A"/>
    <w:rsid w:val="00AA1553"/>
    <w:rsid w:val="00AA2F8B"/>
    <w:rsid w:val="00AD5681"/>
    <w:rsid w:val="00AD6A89"/>
    <w:rsid w:val="00B1146E"/>
    <w:rsid w:val="00B15449"/>
    <w:rsid w:val="00B21D9B"/>
    <w:rsid w:val="00B22899"/>
    <w:rsid w:val="00B475EA"/>
    <w:rsid w:val="00B47FD1"/>
    <w:rsid w:val="00B516BB"/>
    <w:rsid w:val="00B562E0"/>
    <w:rsid w:val="00B771B5"/>
    <w:rsid w:val="00B9639F"/>
    <w:rsid w:val="00BB07D9"/>
    <w:rsid w:val="00BB4E61"/>
    <w:rsid w:val="00BB5AB0"/>
    <w:rsid w:val="00BD0698"/>
    <w:rsid w:val="00BF71DB"/>
    <w:rsid w:val="00C0156D"/>
    <w:rsid w:val="00C12B51"/>
    <w:rsid w:val="00C24650"/>
    <w:rsid w:val="00C25B13"/>
    <w:rsid w:val="00C32390"/>
    <w:rsid w:val="00C32C63"/>
    <w:rsid w:val="00C33079"/>
    <w:rsid w:val="00C83A13"/>
    <w:rsid w:val="00C83FE0"/>
    <w:rsid w:val="00C87068"/>
    <w:rsid w:val="00C92967"/>
    <w:rsid w:val="00CA0A33"/>
    <w:rsid w:val="00CA3D0C"/>
    <w:rsid w:val="00CA419A"/>
    <w:rsid w:val="00CA654B"/>
    <w:rsid w:val="00CD1A2E"/>
    <w:rsid w:val="00CD4C7B"/>
    <w:rsid w:val="00CE0ABB"/>
    <w:rsid w:val="00CE2007"/>
    <w:rsid w:val="00D060B9"/>
    <w:rsid w:val="00D21729"/>
    <w:rsid w:val="00D21EDA"/>
    <w:rsid w:val="00D4374B"/>
    <w:rsid w:val="00D738D6"/>
    <w:rsid w:val="00D80795"/>
    <w:rsid w:val="00D87E00"/>
    <w:rsid w:val="00D9134D"/>
    <w:rsid w:val="00D96D11"/>
    <w:rsid w:val="00DA1565"/>
    <w:rsid w:val="00DA69F4"/>
    <w:rsid w:val="00DA7A03"/>
    <w:rsid w:val="00DB1818"/>
    <w:rsid w:val="00DC309B"/>
    <w:rsid w:val="00DC4DA2"/>
    <w:rsid w:val="00DE10BA"/>
    <w:rsid w:val="00DF01E9"/>
    <w:rsid w:val="00E042AE"/>
    <w:rsid w:val="00E05071"/>
    <w:rsid w:val="00E05594"/>
    <w:rsid w:val="00E102A0"/>
    <w:rsid w:val="00E225D4"/>
    <w:rsid w:val="00E304D4"/>
    <w:rsid w:val="00E35171"/>
    <w:rsid w:val="00E57ACD"/>
    <w:rsid w:val="00E62835"/>
    <w:rsid w:val="00E725F4"/>
    <w:rsid w:val="00E74509"/>
    <w:rsid w:val="00E77645"/>
    <w:rsid w:val="00E77945"/>
    <w:rsid w:val="00E802EE"/>
    <w:rsid w:val="00E83697"/>
    <w:rsid w:val="00E8437B"/>
    <w:rsid w:val="00EA7923"/>
    <w:rsid w:val="00EC4A25"/>
    <w:rsid w:val="00ED53C4"/>
    <w:rsid w:val="00EE57E9"/>
    <w:rsid w:val="00EF0AE0"/>
    <w:rsid w:val="00F025A2"/>
    <w:rsid w:val="00F03E42"/>
    <w:rsid w:val="00F07388"/>
    <w:rsid w:val="00F12344"/>
    <w:rsid w:val="00F126C9"/>
    <w:rsid w:val="00F14E48"/>
    <w:rsid w:val="00F169CA"/>
    <w:rsid w:val="00F2026E"/>
    <w:rsid w:val="00F21E11"/>
    <w:rsid w:val="00F2210A"/>
    <w:rsid w:val="00F2550C"/>
    <w:rsid w:val="00F2551F"/>
    <w:rsid w:val="00F314A7"/>
    <w:rsid w:val="00F3700A"/>
    <w:rsid w:val="00F37743"/>
    <w:rsid w:val="00F414C7"/>
    <w:rsid w:val="00F535D6"/>
    <w:rsid w:val="00F54A3D"/>
    <w:rsid w:val="00F653B8"/>
    <w:rsid w:val="00F67ABD"/>
    <w:rsid w:val="00F71213"/>
    <w:rsid w:val="00F71B89"/>
    <w:rsid w:val="00F7353C"/>
    <w:rsid w:val="00F73D5E"/>
    <w:rsid w:val="00F769B2"/>
    <w:rsid w:val="00F76F8F"/>
    <w:rsid w:val="00F87DE3"/>
    <w:rsid w:val="00F947F0"/>
    <w:rsid w:val="00F96DB1"/>
    <w:rsid w:val="00FA1266"/>
    <w:rsid w:val="00FA22E4"/>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TFChar">
    <w:name w:val="TF Char"/>
    <w:basedOn w:val="a0"/>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customStyle="1" w:styleId="Mention">
    <w:name w:val="Mention"/>
    <w:basedOn w:val="a0"/>
    <w:uiPriority w:val="99"/>
    <w:semiHidden/>
    <w:unhideWhenUsed/>
    <w:rsid w:val="00431A4F"/>
    <w:rPr>
      <w:color w:val="2B579A"/>
      <w:shd w:val="clear" w:color="auto" w:fill="E6E6E6"/>
    </w:rPr>
  </w:style>
  <w:style w:type="table" w:styleId="a6">
    <w:name w:val="Table Grid"/>
    <w:basedOn w:val="a1"/>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a"/>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a7">
    <w:name w:val="Balloon Text"/>
    <w:basedOn w:val="a"/>
    <w:link w:val="Char0"/>
    <w:rsid w:val="00AD6A89"/>
    <w:pPr>
      <w:spacing w:after="0"/>
    </w:pPr>
    <w:rPr>
      <w:rFonts w:ascii="Segoe UI" w:hAnsi="Segoe UI" w:cs="Segoe UI"/>
      <w:sz w:val="18"/>
      <w:szCs w:val="18"/>
    </w:rPr>
  </w:style>
  <w:style w:type="character" w:customStyle="1" w:styleId="Char0">
    <w:name w:val="풍선 도움말 텍스트 Char"/>
    <w:basedOn w:val="a0"/>
    <w:link w:val="a7"/>
    <w:rsid w:val="00AD6A89"/>
    <w:rPr>
      <w:rFonts w:ascii="Segoe UI" w:hAnsi="Segoe UI" w:cs="Segoe UI"/>
      <w:sz w:val="18"/>
      <w:szCs w:val="18"/>
      <w:lang w:eastAsia="en-US"/>
    </w:rPr>
  </w:style>
  <w:style w:type="character" w:styleId="a8">
    <w:name w:val="annotation reference"/>
    <w:basedOn w:val="a0"/>
    <w:rsid w:val="00314CDF"/>
    <w:rPr>
      <w:sz w:val="16"/>
      <w:szCs w:val="16"/>
    </w:rPr>
  </w:style>
  <w:style w:type="paragraph" w:styleId="a9">
    <w:name w:val="annotation text"/>
    <w:basedOn w:val="a"/>
    <w:link w:val="Char1"/>
    <w:rsid w:val="00314CDF"/>
  </w:style>
  <w:style w:type="character" w:customStyle="1" w:styleId="Char1">
    <w:name w:val="메모 텍스트 Char"/>
    <w:basedOn w:val="a0"/>
    <w:link w:val="a9"/>
    <w:rsid w:val="00314CDF"/>
    <w:rPr>
      <w:lang w:eastAsia="en-US"/>
    </w:rPr>
  </w:style>
  <w:style w:type="paragraph" w:styleId="aa">
    <w:name w:val="annotation subject"/>
    <w:basedOn w:val="a9"/>
    <w:next w:val="a9"/>
    <w:link w:val="Char2"/>
    <w:rsid w:val="00314CDF"/>
    <w:rPr>
      <w:b/>
      <w:bCs/>
    </w:rPr>
  </w:style>
  <w:style w:type="character" w:customStyle="1" w:styleId="Char2">
    <w:name w:val="메모 주제 Char"/>
    <w:basedOn w:val="Char1"/>
    <w:link w:val="aa"/>
    <w:rsid w:val="00314CDF"/>
    <w:rPr>
      <w:b/>
      <w:bCs/>
      <w:lang w:eastAsia="en-US"/>
    </w:rPr>
  </w:style>
  <w:style w:type="paragraph" w:styleId="ab">
    <w:name w:val="List Paragraph"/>
    <w:basedOn w:val="a"/>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a0"/>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4757">
      <w:bodyDiv w:val="1"/>
      <w:marLeft w:val="0"/>
      <w:marRight w:val="0"/>
      <w:marTop w:val="0"/>
      <w:marBottom w:val="0"/>
      <w:divBdr>
        <w:top w:val="none" w:sz="0" w:space="0" w:color="auto"/>
        <w:left w:val="none" w:sz="0" w:space="0" w:color="auto"/>
        <w:bottom w:val="none" w:sz="0" w:space="0" w:color="auto"/>
        <w:right w:val="none" w:sz="0" w:space="0" w:color="auto"/>
      </w:divBdr>
    </w:div>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459417983">
      <w:bodyDiv w:val="1"/>
      <w:marLeft w:val="0"/>
      <w:marRight w:val="0"/>
      <w:marTop w:val="0"/>
      <w:marBottom w:val="0"/>
      <w:divBdr>
        <w:top w:val="none" w:sz="0" w:space="0" w:color="auto"/>
        <w:left w:val="none" w:sz="0" w:space="0" w:color="auto"/>
        <w:bottom w:val="none" w:sz="0" w:space="0" w:color="auto"/>
        <w:right w:val="none" w:sz="0" w:space="0" w:color="auto"/>
      </w:divBdr>
    </w:div>
    <w:div w:id="930699231">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2.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5.xml><?xml version="1.0" encoding="utf-8"?>
<ds:datastoreItem xmlns:ds="http://schemas.openxmlformats.org/officeDocument/2006/customXml" ds:itemID="{4672BC89-0F79-4DFD-A76F-32A87047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1052</Words>
  <Characters>6002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7040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June</cp:lastModifiedBy>
  <cp:revision>3</cp:revision>
  <dcterms:created xsi:type="dcterms:W3CDTF">2017-08-11T06:23:00Z</dcterms:created>
  <dcterms:modified xsi:type="dcterms:W3CDTF">2017-08-11T06:32:00Z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